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93" w:rsidRDefault="00E02693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关于举办音乐舞蹈史诗《井冈山》新闻采访比赛活动的通知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井冈山是中国革命的摇篮，也是红色资源宝库。井冈山大学坚持以井冈山精神办学育人，音乐舞蹈史诗《井冈山》就是一部进行井冈山精神教育的鲜活教材。为了将红色资源转化为优质教育资源，加强专业实践教学，学校决定，</w:t>
      </w:r>
      <w:r>
        <w:rPr>
          <w:rFonts w:ascii="仿宋" w:eastAsia="仿宋" w:hAnsi="仿宋" w:cs="仿宋"/>
          <w:sz w:val="24"/>
          <w:szCs w:val="24"/>
        </w:rPr>
        <w:t>2015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24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时，音乐舞蹈史诗《井冈山》在学生会堂举行教学演出，以音乐舞蹈史诗《井冈山》为载体，全校开展音乐舞蹈史诗《井冈山》新闻报道比赛活动，具体方案如下：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一、组织机构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本次征文活动是音乐舞蹈史诗《井冈山》系列实践教学活动之一，由人文学院承办。为使活动顺利开展，特成立活动领导小组。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组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长：刘晓鑫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副组长：邱斌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成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员：梁长荣</w:t>
      </w:r>
      <w:r>
        <w:rPr>
          <w:rFonts w:ascii="仿宋" w:eastAsia="仿宋" w:hAnsi="仿宋" w:cs="仿宋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贺碧晴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张华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许苏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肖文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刘洪明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郭辉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徐桂林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二、活动主题、目的和内容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活动主题：音乐舞蹈史诗《井冈山》精彩呈现</w:t>
      </w:r>
      <w:r>
        <w:rPr>
          <w:rFonts w:ascii="仿宋" w:eastAsia="仿宋" w:hAnsi="仿宋" w:cs="仿宋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红色基因代代相传。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活动目的：弘扬井冈山精神，努力将井冈山红色资源优势转化为学校的教育教学资源优势，使新闻学、广播电视学、广播电视编导等专业学生加深对井冈山精神的理解，进一步树立马克思主义新闻观，提高当代大学生宣传井冈山精神新闻报道水平。</w:t>
      </w:r>
    </w:p>
    <w:p w:rsidR="00E02693" w:rsidRDefault="00E02693" w:rsidP="000E02E8">
      <w:pPr>
        <w:spacing w:after="0" w:line="360" w:lineRule="auto"/>
        <w:ind w:firstLineChars="196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活动内容：通过面对面直接对话，采访主持人与音乐舞蹈史诗《井冈山》的编创和演员、观众，让广大师生近距离感受编创、演员在《井冈山》音乐舞蹈史诗台前幕后的辛勤付出，感受井冈山精神对当代大学生的深刻洗礼和独特魅力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三、参赛对象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以人文学院新闻系相关专业学生为主体；本校其他学生可自愿参加。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四、作品要求和投稿方式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参赛内容必须与今年的活动主题相关。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参赛新闻稿件体裁不限，含文字报道和广播电视新闻作品。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参赛作品必须为原创作品，切忌抄袭，一经发现取消比赛资格。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4.</w:t>
      </w:r>
      <w:r>
        <w:rPr>
          <w:rFonts w:ascii="仿宋" w:eastAsia="仿宋" w:hAnsi="仿宋" w:cs="仿宋" w:hint="eastAsia"/>
          <w:sz w:val="24"/>
          <w:szCs w:val="24"/>
        </w:rPr>
        <w:t>参赛作品文字报道（含图片）一律使用</w:t>
      </w:r>
      <w:r>
        <w:rPr>
          <w:rFonts w:ascii="仿宋" w:eastAsia="仿宋" w:hAnsi="仿宋" w:cs="仿宋"/>
          <w:sz w:val="24"/>
          <w:szCs w:val="24"/>
        </w:rPr>
        <w:t>WORD</w:t>
      </w:r>
      <w:r>
        <w:rPr>
          <w:rFonts w:ascii="仿宋" w:eastAsia="仿宋" w:hAnsi="仿宋" w:cs="仿宋" w:hint="eastAsia"/>
          <w:sz w:val="24"/>
          <w:szCs w:val="24"/>
        </w:rPr>
        <w:t>文件提交，字数要求在</w:t>
      </w:r>
      <w:r>
        <w:rPr>
          <w:rFonts w:ascii="仿宋" w:eastAsia="仿宋" w:hAnsi="仿宋" w:cs="仿宋"/>
          <w:sz w:val="24"/>
          <w:szCs w:val="24"/>
        </w:rPr>
        <w:t>500-5000</w:t>
      </w:r>
      <w:r>
        <w:rPr>
          <w:rFonts w:ascii="仿宋" w:eastAsia="仿宋" w:hAnsi="仿宋" w:cs="仿宋" w:hint="eastAsia"/>
          <w:sz w:val="24"/>
          <w:szCs w:val="24"/>
        </w:rPr>
        <w:t>字以内；广播电视新闻作品格式为</w:t>
      </w:r>
      <w:r>
        <w:rPr>
          <w:rFonts w:ascii="仿宋" w:eastAsia="仿宋" w:hAnsi="仿宋" w:cs="仿宋"/>
          <w:sz w:val="24"/>
          <w:szCs w:val="24"/>
        </w:rPr>
        <w:t>AVI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WMV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/>
          <w:sz w:val="24"/>
          <w:szCs w:val="24"/>
        </w:rPr>
        <w:t>MPG</w:t>
      </w:r>
      <w:r>
        <w:rPr>
          <w:rFonts w:ascii="仿宋" w:eastAsia="仿宋" w:hAnsi="仿宋" w:cs="仿宋" w:hint="eastAsia"/>
          <w:sz w:val="24"/>
          <w:szCs w:val="24"/>
        </w:rPr>
        <w:t>，时长要求在</w:t>
      </w:r>
      <w:r>
        <w:rPr>
          <w:rFonts w:ascii="仿宋" w:eastAsia="仿宋" w:hAnsi="仿宋" w:cs="仿宋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分钟</w:t>
      </w:r>
      <w:r>
        <w:rPr>
          <w:rFonts w:ascii="仿宋" w:eastAsia="仿宋" w:hAnsi="仿宋" w:cs="仿宋"/>
          <w:sz w:val="24"/>
          <w:szCs w:val="24"/>
        </w:rPr>
        <w:t>-30</w:t>
      </w:r>
      <w:r>
        <w:rPr>
          <w:rFonts w:ascii="仿宋" w:eastAsia="仿宋" w:hAnsi="仿宋" w:cs="仿宋" w:hint="eastAsia"/>
          <w:sz w:val="24"/>
          <w:szCs w:val="24"/>
        </w:rPr>
        <w:t>分钟以内。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5.</w:t>
      </w:r>
      <w:r>
        <w:rPr>
          <w:rFonts w:ascii="仿宋" w:eastAsia="仿宋" w:hAnsi="仿宋" w:cs="仿宋" w:hint="eastAsia"/>
          <w:sz w:val="24"/>
          <w:szCs w:val="24"/>
        </w:rPr>
        <w:t>参赛作品以“学院</w:t>
      </w:r>
      <w:r>
        <w:rPr>
          <w:rFonts w:ascii="仿宋" w:eastAsia="仿宋" w:hAnsi="仿宋" w:cs="仿宋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班级</w:t>
      </w:r>
      <w:r>
        <w:rPr>
          <w:rFonts w:ascii="仿宋" w:eastAsia="仿宋" w:hAnsi="仿宋" w:cs="仿宋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学号</w:t>
      </w:r>
      <w:r>
        <w:rPr>
          <w:rFonts w:ascii="仿宋" w:eastAsia="仿宋" w:hAnsi="仿宋" w:cs="仿宋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姓名”重命名，作品里面还应按照标准格式署名（如消息头、片花等），文字报道上交电子文稿（打包发到</w:t>
      </w:r>
      <w:r>
        <w:rPr>
          <w:rFonts w:ascii="仿宋" w:eastAsia="仿宋" w:hAnsi="仿宋" w:cs="仿宋"/>
          <w:sz w:val="24"/>
          <w:szCs w:val="24"/>
        </w:rPr>
        <w:t>QQ:961479183</w:t>
      </w:r>
      <w:r>
        <w:rPr>
          <w:rFonts w:ascii="仿宋" w:eastAsia="仿宋" w:hAnsi="仿宋" w:cs="仿宋" w:hint="eastAsia"/>
          <w:sz w:val="24"/>
          <w:szCs w:val="24"/>
        </w:rPr>
        <w:t>）和</w:t>
      </w:r>
      <w:r>
        <w:rPr>
          <w:rFonts w:ascii="仿宋" w:eastAsia="仿宋" w:hAnsi="仿宋" w:cs="仿宋"/>
          <w:sz w:val="24"/>
          <w:szCs w:val="24"/>
        </w:rPr>
        <w:t>A4</w:t>
      </w:r>
      <w:r>
        <w:rPr>
          <w:rFonts w:ascii="仿宋" w:eastAsia="仿宋" w:hAnsi="仿宋" w:cs="仿宋" w:hint="eastAsia"/>
          <w:sz w:val="24"/>
          <w:szCs w:val="24"/>
        </w:rPr>
        <w:t>纸质打印稿，广播电视作品上交光盘。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6.</w:t>
      </w:r>
      <w:r>
        <w:rPr>
          <w:rFonts w:ascii="仿宋" w:eastAsia="仿宋" w:hAnsi="仿宋" w:cs="仿宋" w:hint="eastAsia"/>
          <w:sz w:val="24"/>
          <w:szCs w:val="24"/>
        </w:rPr>
        <w:t>投稿方式：收稿截止时间为</w:t>
      </w:r>
      <w:r>
        <w:rPr>
          <w:rFonts w:ascii="仿宋" w:eastAsia="仿宋" w:hAnsi="仿宋" w:cs="仿宋"/>
          <w:sz w:val="24"/>
          <w:szCs w:val="24"/>
        </w:rPr>
        <w:t>2015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日；人文学院各班由学习委员统一将参赛作品交至新闻系办公室，本校其他学生可自行将参赛作品交至新闻系办公室。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7.</w:t>
      </w:r>
      <w:r>
        <w:rPr>
          <w:rFonts w:ascii="仿宋" w:eastAsia="仿宋" w:hAnsi="仿宋" w:cs="仿宋" w:hint="eastAsia"/>
          <w:sz w:val="24"/>
          <w:szCs w:val="24"/>
        </w:rPr>
        <w:t>活动联系人：梁长荣</w:t>
      </w:r>
      <w:r>
        <w:rPr>
          <w:rFonts w:ascii="仿宋" w:eastAsia="仿宋" w:hAnsi="仿宋" w:cs="仿宋"/>
          <w:sz w:val="24"/>
          <w:szCs w:val="24"/>
        </w:rPr>
        <w:t>13097061015</w:t>
      </w:r>
      <w:r>
        <w:rPr>
          <w:rFonts w:ascii="仿宋" w:eastAsia="仿宋" w:hAnsi="仿宋" w:cs="仿宋" w:hint="eastAsia"/>
          <w:sz w:val="24"/>
          <w:szCs w:val="24"/>
        </w:rPr>
        <w:t>，徐桂林</w:t>
      </w:r>
      <w:r>
        <w:rPr>
          <w:rFonts w:ascii="仿宋" w:eastAsia="仿宋" w:hAnsi="仿宋" w:cs="仿宋"/>
          <w:sz w:val="24"/>
          <w:szCs w:val="24"/>
        </w:rPr>
        <w:t>15979697575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02693" w:rsidRDefault="00E02693" w:rsidP="000E02E8">
      <w:pPr>
        <w:spacing w:after="0" w:line="360" w:lineRule="auto"/>
        <w:ind w:firstLineChars="200" w:firstLine="316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五、奖项设置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本次比赛设一等奖、二等奖、三等奖各若干名。获奖人数分别按参赛人数的</w:t>
      </w:r>
      <w:r>
        <w:rPr>
          <w:rFonts w:ascii="仿宋" w:eastAsia="仿宋" w:hAnsi="仿宋" w:cs="仿宋"/>
          <w:sz w:val="24"/>
          <w:szCs w:val="24"/>
        </w:rPr>
        <w:t>5%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10%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/>
          <w:sz w:val="24"/>
          <w:szCs w:val="24"/>
        </w:rPr>
        <w:t>20%</w:t>
      </w:r>
      <w:r>
        <w:rPr>
          <w:rFonts w:ascii="仿宋" w:eastAsia="仿宋" w:hAnsi="仿宋" w:cs="仿宋" w:hint="eastAsia"/>
          <w:sz w:val="24"/>
          <w:szCs w:val="24"/>
        </w:rPr>
        <w:t>设定。</w:t>
      </w:r>
    </w:p>
    <w:p w:rsidR="00E02693" w:rsidRDefault="00E02693">
      <w:pPr>
        <w:pStyle w:val="p0"/>
        <w:spacing w:line="360" w:lineRule="auto"/>
        <w:ind w:firstLine="560"/>
        <w:rPr>
          <w:rFonts w:ascii="仿宋" w:eastAsia="仿宋" w:hAnsi="仿宋" w:cs="Tahoma"/>
          <w:sz w:val="24"/>
          <w:szCs w:val="24"/>
        </w:rPr>
      </w:pPr>
      <w:bookmarkStart w:id="0" w:name="_GoBack"/>
      <w:bookmarkEnd w:id="0"/>
    </w:p>
    <w:p w:rsidR="00E02693" w:rsidRDefault="00E02693" w:rsidP="000E02E8">
      <w:pPr>
        <w:pStyle w:val="p0"/>
        <w:spacing w:line="360" w:lineRule="auto"/>
        <w:ind w:firstLineChars="50" w:firstLine="31680"/>
        <w:jc w:val="right"/>
        <w:rPr>
          <w:rFonts w:ascii="仿宋" w:eastAsia="仿宋" w:hAnsi="仿宋" w:cs="Tahoma"/>
          <w:sz w:val="24"/>
          <w:szCs w:val="24"/>
        </w:rPr>
      </w:pPr>
    </w:p>
    <w:p w:rsidR="00E02693" w:rsidRDefault="00E02693" w:rsidP="000E02E8">
      <w:pPr>
        <w:pStyle w:val="p0"/>
        <w:wordWrap w:val="0"/>
        <w:spacing w:line="360" w:lineRule="auto"/>
        <w:ind w:firstLineChars="50" w:firstLine="316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井冈山大学人文学院</w:t>
      </w:r>
      <w:r>
        <w:rPr>
          <w:rFonts w:ascii="仿宋" w:eastAsia="仿宋" w:hAnsi="仿宋" w:cs="仿宋"/>
          <w:sz w:val="24"/>
          <w:szCs w:val="24"/>
        </w:rPr>
        <w:t xml:space="preserve">  </w:t>
      </w:r>
    </w:p>
    <w:p w:rsidR="00E02693" w:rsidRDefault="00E02693" w:rsidP="000E02E8">
      <w:pPr>
        <w:pStyle w:val="p0"/>
        <w:spacing w:line="360" w:lineRule="auto"/>
        <w:ind w:firstLineChars="1450" w:firstLine="31680"/>
        <w:jc w:val="right"/>
        <w:rPr>
          <w:rFonts w:ascii="仿宋" w:eastAsia="仿宋" w:hAnsi="仿宋" w:cs="Tahom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二〇一五年十一月十二日</w:t>
      </w:r>
    </w:p>
    <w:p w:rsidR="00E02693" w:rsidRDefault="00E02693">
      <w:pPr>
        <w:spacing w:line="220" w:lineRule="atLeast"/>
        <w:rPr>
          <w:rFonts w:ascii="仿宋" w:eastAsia="仿宋" w:hAnsi="仿宋"/>
          <w:sz w:val="28"/>
          <w:szCs w:val="28"/>
        </w:rPr>
      </w:pPr>
    </w:p>
    <w:sectPr w:rsidR="00E02693" w:rsidSect="003F61AB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93" w:rsidRDefault="00E02693" w:rsidP="003F61AB">
      <w:pPr>
        <w:spacing w:after="0"/>
      </w:pPr>
      <w:r>
        <w:separator/>
      </w:r>
    </w:p>
  </w:endnote>
  <w:endnote w:type="continuationSeparator" w:id="0">
    <w:p w:rsidR="00E02693" w:rsidRDefault="00E02693" w:rsidP="003F61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93" w:rsidRDefault="00E02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93" w:rsidRDefault="00E02693" w:rsidP="003F61AB">
      <w:pPr>
        <w:spacing w:after="0"/>
      </w:pPr>
      <w:r>
        <w:separator/>
      </w:r>
    </w:p>
  </w:footnote>
  <w:footnote w:type="continuationSeparator" w:id="0">
    <w:p w:rsidR="00E02693" w:rsidRDefault="00E02693" w:rsidP="003F61A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93" w:rsidRDefault="00E0269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5B0B"/>
    <w:rsid w:val="000422F9"/>
    <w:rsid w:val="00076593"/>
    <w:rsid w:val="000E02E8"/>
    <w:rsid w:val="000F7B24"/>
    <w:rsid w:val="00117892"/>
    <w:rsid w:val="00135FF1"/>
    <w:rsid w:val="00192C7F"/>
    <w:rsid w:val="001E2008"/>
    <w:rsid w:val="001F47C5"/>
    <w:rsid w:val="00270E2A"/>
    <w:rsid w:val="002A18F4"/>
    <w:rsid w:val="00323B43"/>
    <w:rsid w:val="003A1361"/>
    <w:rsid w:val="003B40A7"/>
    <w:rsid w:val="003D37D8"/>
    <w:rsid w:val="003F61AB"/>
    <w:rsid w:val="00426133"/>
    <w:rsid w:val="004358AB"/>
    <w:rsid w:val="004F37EE"/>
    <w:rsid w:val="005056C0"/>
    <w:rsid w:val="005C69B5"/>
    <w:rsid w:val="00630185"/>
    <w:rsid w:val="00651A05"/>
    <w:rsid w:val="006B4E9D"/>
    <w:rsid w:val="006C041D"/>
    <w:rsid w:val="006E3326"/>
    <w:rsid w:val="00780996"/>
    <w:rsid w:val="007E4CD4"/>
    <w:rsid w:val="008318A3"/>
    <w:rsid w:val="00885235"/>
    <w:rsid w:val="00886F60"/>
    <w:rsid w:val="00897AFE"/>
    <w:rsid w:val="00897E70"/>
    <w:rsid w:val="008A048A"/>
    <w:rsid w:val="008B7726"/>
    <w:rsid w:val="008D393D"/>
    <w:rsid w:val="008F5181"/>
    <w:rsid w:val="00912DA9"/>
    <w:rsid w:val="0091593C"/>
    <w:rsid w:val="00930770"/>
    <w:rsid w:val="00A54409"/>
    <w:rsid w:val="00B47EC0"/>
    <w:rsid w:val="00BB7F6F"/>
    <w:rsid w:val="00BC351B"/>
    <w:rsid w:val="00C30F11"/>
    <w:rsid w:val="00C31592"/>
    <w:rsid w:val="00C44C88"/>
    <w:rsid w:val="00C63F88"/>
    <w:rsid w:val="00D31D50"/>
    <w:rsid w:val="00D61AAC"/>
    <w:rsid w:val="00D9115C"/>
    <w:rsid w:val="00DB66A6"/>
    <w:rsid w:val="00DF77A0"/>
    <w:rsid w:val="00E02693"/>
    <w:rsid w:val="00E249EB"/>
    <w:rsid w:val="00EC2F9F"/>
    <w:rsid w:val="00EC5A01"/>
    <w:rsid w:val="00F27129"/>
    <w:rsid w:val="00F81DDE"/>
    <w:rsid w:val="00F973AC"/>
    <w:rsid w:val="00FB3596"/>
    <w:rsid w:val="00FF07DA"/>
    <w:rsid w:val="02BA1505"/>
    <w:rsid w:val="0D755621"/>
    <w:rsid w:val="0F596ABB"/>
    <w:rsid w:val="108D3635"/>
    <w:rsid w:val="14EA1CE0"/>
    <w:rsid w:val="162177DE"/>
    <w:rsid w:val="21430D20"/>
    <w:rsid w:val="21B22658"/>
    <w:rsid w:val="22310B12"/>
    <w:rsid w:val="2233330C"/>
    <w:rsid w:val="2D7733A3"/>
    <w:rsid w:val="2EF9001C"/>
    <w:rsid w:val="2FA22A33"/>
    <w:rsid w:val="313B72D2"/>
    <w:rsid w:val="32136FB5"/>
    <w:rsid w:val="381D531B"/>
    <w:rsid w:val="40CD3961"/>
    <w:rsid w:val="419F0436"/>
    <w:rsid w:val="45B358F7"/>
    <w:rsid w:val="466C2618"/>
    <w:rsid w:val="492C219C"/>
    <w:rsid w:val="4A8017C9"/>
    <w:rsid w:val="5B780C22"/>
    <w:rsid w:val="5C07178B"/>
    <w:rsid w:val="606A444D"/>
    <w:rsid w:val="65724C80"/>
    <w:rsid w:val="67650933"/>
    <w:rsid w:val="6DC463A3"/>
    <w:rsid w:val="70E33D42"/>
    <w:rsid w:val="73C70602"/>
    <w:rsid w:val="751E0BB4"/>
    <w:rsid w:val="792D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AB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F61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61AB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F61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1AB"/>
    <w:rPr>
      <w:rFonts w:ascii="Tahoma" w:hAnsi="Tahoma" w:cs="Tahoma"/>
      <w:sz w:val="18"/>
      <w:szCs w:val="18"/>
    </w:rPr>
  </w:style>
  <w:style w:type="paragraph" w:customStyle="1" w:styleId="p0">
    <w:name w:val="p0"/>
    <w:basedOn w:val="Normal"/>
    <w:uiPriority w:val="99"/>
    <w:rsid w:val="003F61AB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165</Words>
  <Characters>944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人文学院第四届新闻写作大赛通知</dc:title>
  <dc:subject/>
  <dc:creator>Administrator</dc:creator>
  <cp:keywords/>
  <dc:description/>
  <cp:lastModifiedBy>微软用户</cp:lastModifiedBy>
  <cp:revision>10</cp:revision>
  <dcterms:created xsi:type="dcterms:W3CDTF">2015-11-11T12:53:00Z</dcterms:created>
  <dcterms:modified xsi:type="dcterms:W3CDTF">2015-11-17T02:14:00Z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